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75" w:rsidRPr="000752D7" w:rsidRDefault="00193375" w:rsidP="000752D7">
      <w:pPr>
        <w:rPr>
          <w:rFonts w:ascii="Calibri" w:hAnsi="Calibri" w:cs="Calibri"/>
          <w:b/>
          <w:sz w:val="24"/>
          <w:szCs w:val="22"/>
        </w:rPr>
      </w:pPr>
      <w:r w:rsidRPr="000752D7">
        <w:rPr>
          <w:rFonts w:ascii="Calibri" w:hAnsi="Calibri" w:cs="Calibri"/>
          <w:b/>
          <w:sz w:val="24"/>
          <w:szCs w:val="22"/>
        </w:rPr>
        <w:t xml:space="preserve">Energienetwerken </w:t>
      </w:r>
    </w:p>
    <w:p w:rsidR="000752D7" w:rsidRDefault="000752D7" w:rsidP="000752D7">
      <w:pPr>
        <w:rPr>
          <w:rFonts w:ascii="Calibri" w:hAnsi="Calibri" w:cs="Calibri"/>
          <w:sz w:val="22"/>
          <w:szCs w:val="22"/>
        </w:rPr>
      </w:pPr>
    </w:p>
    <w:p w:rsidR="00193375" w:rsidRPr="000752D7" w:rsidRDefault="00193375" w:rsidP="000752D7">
      <w:pPr>
        <w:rPr>
          <w:rFonts w:ascii="Calibri" w:hAnsi="Calibri" w:cs="Calibri"/>
          <w:sz w:val="22"/>
          <w:szCs w:val="22"/>
        </w:rPr>
      </w:pPr>
      <w:r w:rsidRPr="000752D7">
        <w:rPr>
          <w:rFonts w:ascii="Calibri" w:hAnsi="Calibri" w:cs="Calibri"/>
          <w:sz w:val="22"/>
          <w:szCs w:val="22"/>
        </w:rPr>
        <w:t xml:space="preserve">De RES-regio Drenthe heeft het RES-bod van 3,45 </w:t>
      </w:r>
      <w:proofErr w:type="spellStart"/>
      <w:r w:rsidRPr="000752D7">
        <w:rPr>
          <w:rFonts w:ascii="Calibri" w:hAnsi="Calibri" w:cs="Calibri"/>
          <w:sz w:val="22"/>
          <w:szCs w:val="22"/>
        </w:rPr>
        <w:t>TWh</w:t>
      </w:r>
      <w:proofErr w:type="spellEnd"/>
      <w:r w:rsidRPr="000752D7">
        <w:rPr>
          <w:rFonts w:ascii="Calibri" w:hAnsi="Calibri" w:cs="Calibri"/>
          <w:sz w:val="22"/>
          <w:szCs w:val="22"/>
        </w:rPr>
        <w:t xml:space="preserve"> grootschalige zonne- en windenergie op land gedeeld met netbeheerders </w:t>
      </w:r>
      <w:proofErr w:type="spellStart"/>
      <w:r w:rsidRPr="000752D7">
        <w:rPr>
          <w:rFonts w:ascii="Calibri" w:hAnsi="Calibri" w:cs="Calibri"/>
          <w:sz w:val="22"/>
          <w:szCs w:val="22"/>
        </w:rPr>
        <w:t>Enexis</w:t>
      </w:r>
      <w:proofErr w:type="spellEnd"/>
      <w:r w:rsidRPr="000752D7">
        <w:rPr>
          <w:rFonts w:ascii="Calibri" w:hAnsi="Calibri" w:cs="Calibri"/>
          <w:sz w:val="22"/>
          <w:szCs w:val="22"/>
        </w:rPr>
        <w:t xml:space="preserve">, RENDO en </w:t>
      </w:r>
      <w:proofErr w:type="spellStart"/>
      <w:r w:rsidRPr="000752D7">
        <w:rPr>
          <w:rFonts w:ascii="Calibri" w:hAnsi="Calibri" w:cs="Calibri"/>
          <w:sz w:val="22"/>
          <w:szCs w:val="22"/>
        </w:rPr>
        <w:t>Tennet</w:t>
      </w:r>
      <w:proofErr w:type="spellEnd"/>
      <w:r w:rsidRPr="000752D7">
        <w:rPr>
          <w:rFonts w:ascii="Calibri" w:hAnsi="Calibri" w:cs="Calibri"/>
          <w:sz w:val="22"/>
          <w:szCs w:val="22"/>
        </w:rPr>
        <w:t xml:space="preserve">. De samenleving is immers afhankelijk van veilige en betrouwbare energienetwerken voor transport van energie. </w:t>
      </w:r>
      <w:proofErr w:type="spellStart"/>
      <w:r w:rsidRPr="000752D7">
        <w:rPr>
          <w:rFonts w:ascii="Calibri" w:hAnsi="Calibri" w:cs="Calibri"/>
          <w:sz w:val="22"/>
          <w:szCs w:val="22"/>
        </w:rPr>
        <w:t>TenneT</w:t>
      </w:r>
      <w:proofErr w:type="spellEnd"/>
      <w:r w:rsidRPr="000752D7">
        <w:rPr>
          <w:rFonts w:ascii="Calibri" w:hAnsi="Calibri" w:cs="Calibri"/>
          <w:sz w:val="22"/>
          <w:szCs w:val="22"/>
        </w:rPr>
        <w:t xml:space="preserve"> is verantwoordelijk voor het hoogspanningsnet in Nederland. </w:t>
      </w:r>
      <w:proofErr w:type="spellStart"/>
      <w:r w:rsidRPr="000752D7">
        <w:rPr>
          <w:rFonts w:ascii="Calibri" w:hAnsi="Calibri" w:cs="Calibri"/>
          <w:sz w:val="22"/>
          <w:szCs w:val="22"/>
        </w:rPr>
        <w:t>Enexis</w:t>
      </w:r>
      <w:proofErr w:type="spellEnd"/>
      <w:r w:rsidRPr="000752D7">
        <w:rPr>
          <w:rFonts w:ascii="Calibri" w:hAnsi="Calibri" w:cs="Calibri"/>
          <w:sz w:val="22"/>
          <w:szCs w:val="22"/>
        </w:rPr>
        <w:t xml:space="preserve"> en RENDO zijn regionale netbeheerders. De regionale netbeheerders leggen energienetwerken aan en daarnaast verzorgen zij het beheer en onderhoud van de energienetwerken.</w:t>
      </w:r>
    </w:p>
    <w:p w:rsidR="000752D7" w:rsidRDefault="000752D7" w:rsidP="000752D7">
      <w:pPr>
        <w:rPr>
          <w:rFonts w:ascii="Calibri" w:hAnsi="Calibri" w:cs="Calibri"/>
          <w:sz w:val="22"/>
          <w:szCs w:val="22"/>
        </w:rPr>
      </w:pPr>
    </w:p>
    <w:p w:rsidR="000752D7" w:rsidRPr="000752D7" w:rsidRDefault="000752D7" w:rsidP="000752D7">
      <w:pPr>
        <w:rPr>
          <w:rFonts w:ascii="Calibri" w:hAnsi="Calibri" w:cs="Calibri"/>
          <w:b/>
          <w:sz w:val="22"/>
          <w:szCs w:val="22"/>
        </w:rPr>
      </w:pPr>
      <w:r w:rsidRPr="000752D7">
        <w:rPr>
          <w:rFonts w:ascii="Calibri" w:hAnsi="Calibri" w:cs="Calibri"/>
          <w:b/>
          <w:sz w:val="22"/>
          <w:szCs w:val="22"/>
        </w:rPr>
        <w:t>Knelpunten oplossen</w:t>
      </w:r>
    </w:p>
    <w:p w:rsidR="00193375" w:rsidRPr="000752D7" w:rsidRDefault="00193375" w:rsidP="000752D7">
      <w:pPr>
        <w:rPr>
          <w:rFonts w:ascii="Calibri" w:hAnsi="Calibri" w:cs="Calibri"/>
          <w:sz w:val="22"/>
          <w:szCs w:val="22"/>
        </w:rPr>
      </w:pPr>
      <w:r w:rsidRPr="000752D7">
        <w:rPr>
          <w:rFonts w:ascii="Calibri" w:hAnsi="Calibri" w:cs="Calibri"/>
          <w:sz w:val="22"/>
          <w:szCs w:val="22"/>
        </w:rPr>
        <w:t xml:space="preserve">De impact van de ambitie van de RES-regio Drenthe op de energie-infrastructuur is doorgerekend door </w:t>
      </w:r>
      <w:proofErr w:type="spellStart"/>
      <w:r w:rsidRPr="000752D7">
        <w:rPr>
          <w:rFonts w:ascii="Calibri" w:hAnsi="Calibri" w:cs="Calibri"/>
          <w:sz w:val="22"/>
          <w:szCs w:val="22"/>
        </w:rPr>
        <w:t>Enexis</w:t>
      </w:r>
      <w:proofErr w:type="spellEnd"/>
      <w:r w:rsidRPr="000752D7">
        <w:rPr>
          <w:rFonts w:ascii="Calibri" w:hAnsi="Calibri" w:cs="Calibri"/>
          <w:sz w:val="22"/>
          <w:szCs w:val="22"/>
        </w:rPr>
        <w:t xml:space="preserve"> en RENDO. Om knelpunten op te lossen, dienen 10 Hoog Spanning- en Midden </w:t>
      </w:r>
      <w:proofErr w:type="spellStart"/>
      <w:r w:rsidRPr="000752D7">
        <w:rPr>
          <w:rFonts w:ascii="Calibri" w:hAnsi="Calibri" w:cs="Calibri"/>
          <w:sz w:val="22"/>
          <w:szCs w:val="22"/>
        </w:rPr>
        <w:t>Spanningstations</w:t>
      </w:r>
      <w:proofErr w:type="spellEnd"/>
      <w:r w:rsidRPr="000752D7">
        <w:rPr>
          <w:rFonts w:ascii="Calibri" w:hAnsi="Calibri" w:cs="Calibri"/>
          <w:sz w:val="22"/>
          <w:szCs w:val="22"/>
        </w:rPr>
        <w:t xml:space="preserve"> (HS/MS-stations) te worden uitgebreid en er moeten 5 nieuwe stations bij komen. Hierbij moet rekening worden gehouden met onder meer:</w:t>
      </w:r>
    </w:p>
    <w:p w:rsidR="00193375" w:rsidRPr="000752D7" w:rsidRDefault="00193375" w:rsidP="000752D7">
      <w:pPr>
        <w:pStyle w:val="Lijstalinea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0752D7">
        <w:rPr>
          <w:rFonts w:ascii="Calibri" w:hAnsi="Calibri" w:cs="Calibri"/>
          <w:sz w:val="22"/>
          <w:szCs w:val="22"/>
        </w:rPr>
        <w:t>individuele doorlooptijden van 6 tot 8 jaar voor nieuwe HS/MS-stations en 4 tot 6 jaar voor uitbreidingen van bestaande stations;</w:t>
      </w:r>
    </w:p>
    <w:p w:rsidR="00193375" w:rsidRPr="000752D7" w:rsidRDefault="00193375" w:rsidP="000752D7">
      <w:pPr>
        <w:pStyle w:val="Lijstalinea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0752D7">
        <w:rPr>
          <w:rFonts w:ascii="Calibri" w:hAnsi="Calibri" w:cs="Calibri"/>
          <w:sz w:val="22"/>
          <w:szCs w:val="22"/>
        </w:rPr>
        <w:t>een benodigde ruimte van 7.5 tot 20 hectare voor de realisatie van 5 nieuwe HS/MS-stations. Daarnaast is ruimte nodig om bestaande HS/MS-stations uit te breiden;</w:t>
      </w:r>
    </w:p>
    <w:p w:rsidR="00193375" w:rsidRPr="000752D7" w:rsidRDefault="00193375" w:rsidP="000752D7">
      <w:pPr>
        <w:pStyle w:val="Lijstalinea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0752D7">
        <w:rPr>
          <w:rFonts w:ascii="Calibri" w:hAnsi="Calibri" w:cs="Calibri"/>
          <w:sz w:val="22"/>
          <w:szCs w:val="22"/>
        </w:rPr>
        <w:t xml:space="preserve">maatschappelijke kosten tussen de 205 en 221 miljoen euro voor de aangeleverde scenario’s. Dit bedrag is exclusief de kosten die </w:t>
      </w:r>
      <w:proofErr w:type="spellStart"/>
      <w:r w:rsidRPr="000752D7">
        <w:rPr>
          <w:rFonts w:ascii="Calibri" w:hAnsi="Calibri" w:cs="Calibri"/>
          <w:sz w:val="22"/>
          <w:szCs w:val="22"/>
        </w:rPr>
        <w:t>TenneT</w:t>
      </w:r>
      <w:proofErr w:type="spellEnd"/>
      <w:r w:rsidRPr="000752D7">
        <w:rPr>
          <w:rFonts w:ascii="Calibri" w:hAnsi="Calibri" w:cs="Calibri"/>
          <w:sz w:val="22"/>
          <w:szCs w:val="22"/>
        </w:rPr>
        <w:t xml:space="preserve"> maakt.</w:t>
      </w:r>
    </w:p>
    <w:p w:rsidR="000752D7" w:rsidRDefault="000752D7" w:rsidP="000752D7">
      <w:pPr>
        <w:rPr>
          <w:rFonts w:ascii="Calibri" w:hAnsi="Calibri" w:cs="Calibri"/>
          <w:sz w:val="22"/>
          <w:szCs w:val="22"/>
        </w:rPr>
      </w:pPr>
    </w:p>
    <w:p w:rsidR="000752D7" w:rsidRPr="000752D7" w:rsidRDefault="000752D7" w:rsidP="000752D7">
      <w:pPr>
        <w:rPr>
          <w:rFonts w:ascii="Calibri" w:hAnsi="Calibri" w:cs="Calibri"/>
          <w:b/>
          <w:sz w:val="22"/>
          <w:szCs w:val="22"/>
        </w:rPr>
      </w:pPr>
      <w:r w:rsidRPr="000752D7">
        <w:rPr>
          <w:rFonts w:ascii="Calibri" w:hAnsi="Calibri" w:cs="Calibri"/>
          <w:b/>
          <w:sz w:val="22"/>
          <w:szCs w:val="22"/>
        </w:rPr>
        <w:t>Hoogspanningsnet</w:t>
      </w:r>
    </w:p>
    <w:p w:rsidR="00193375" w:rsidRPr="000752D7" w:rsidRDefault="00193375" w:rsidP="000752D7">
      <w:pPr>
        <w:rPr>
          <w:rFonts w:ascii="Calibri" w:hAnsi="Calibri" w:cs="Calibri"/>
          <w:sz w:val="22"/>
          <w:szCs w:val="22"/>
        </w:rPr>
      </w:pPr>
      <w:proofErr w:type="spellStart"/>
      <w:r w:rsidRPr="000752D7">
        <w:rPr>
          <w:rFonts w:ascii="Calibri" w:hAnsi="Calibri" w:cs="Calibri"/>
          <w:sz w:val="22"/>
          <w:szCs w:val="22"/>
        </w:rPr>
        <w:t>TenneT</w:t>
      </w:r>
      <w:proofErr w:type="spellEnd"/>
      <w:r w:rsidRPr="000752D7">
        <w:rPr>
          <w:rFonts w:ascii="Calibri" w:hAnsi="Calibri" w:cs="Calibri"/>
          <w:sz w:val="22"/>
          <w:szCs w:val="22"/>
        </w:rPr>
        <w:t xml:space="preserve"> berekent de consequenties voor het hoogspanningsnet. Deze doorrekening vindt plaats op weg naar RES 1.0.</w:t>
      </w:r>
    </w:p>
    <w:p w:rsidR="00ED2ED2" w:rsidRPr="000752D7" w:rsidRDefault="00ED2ED2" w:rsidP="000752D7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ED2ED2" w:rsidRPr="000752D7" w:rsidSect="00193375"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E13A0B"/>
    <w:multiLevelType w:val="multilevel"/>
    <w:tmpl w:val="D3EE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DE7908"/>
    <w:multiLevelType w:val="hybridMultilevel"/>
    <w:tmpl w:val="D428A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75"/>
    <w:rsid w:val="00074D2E"/>
    <w:rsid w:val="000752D7"/>
    <w:rsid w:val="000C2AD4"/>
    <w:rsid w:val="00153D3F"/>
    <w:rsid w:val="00193375"/>
    <w:rsid w:val="001B19D2"/>
    <w:rsid w:val="00290FA5"/>
    <w:rsid w:val="00322ACB"/>
    <w:rsid w:val="003A7B65"/>
    <w:rsid w:val="00484E00"/>
    <w:rsid w:val="00497A97"/>
    <w:rsid w:val="005B5015"/>
    <w:rsid w:val="007349EA"/>
    <w:rsid w:val="00797E7D"/>
    <w:rsid w:val="007F6EE6"/>
    <w:rsid w:val="008254AD"/>
    <w:rsid w:val="0090777E"/>
    <w:rsid w:val="00AB488A"/>
    <w:rsid w:val="00B22412"/>
    <w:rsid w:val="00B47303"/>
    <w:rsid w:val="00B6595C"/>
    <w:rsid w:val="00BC6EEC"/>
    <w:rsid w:val="00BE139C"/>
    <w:rsid w:val="00D870C2"/>
    <w:rsid w:val="00E531F7"/>
    <w:rsid w:val="00ED2ED2"/>
    <w:rsid w:val="00F06289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660F3"/>
  <w15:chartTrackingRefBased/>
  <w15:docId w15:val="{7F754F68-E2E3-466D-8BFA-23C79A10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497A97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</w:rPr>
  </w:style>
  <w:style w:type="paragraph" w:styleId="Kop2">
    <w:name w:val="heading 2"/>
    <w:basedOn w:val="Standaard"/>
    <w:next w:val="Standaard"/>
    <w:qFormat/>
    <w:pPr>
      <w:keepNext/>
      <w:outlineLvl w:val="1"/>
    </w:p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</w:p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</w:pPr>
  </w:style>
  <w:style w:type="paragraph" w:styleId="Ballontekst">
    <w:name w:val="Balloon Text"/>
    <w:basedOn w:val="Standaard"/>
    <w:link w:val="BallontekstChar"/>
    <w:rsid w:val="00290F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7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1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472458E-388B-47C3-9699-8FA9DB74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1233</Characters>
  <Application>Microsoft Office Word</Application>
  <DocSecurity>0</DocSecurity>
  <Lines>82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Winkel</dc:creator>
  <cp:keywords/>
  <dc:description/>
  <cp:lastModifiedBy>Miriam Winkel</cp:lastModifiedBy>
  <cp:revision>2</cp:revision>
  <cp:lastPrinted>2001-04-10T05:47:00Z</cp:lastPrinted>
  <dcterms:created xsi:type="dcterms:W3CDTF">2020-08-17T09:31:00Z</dcterms:created>
  <dcterms:modified xsi:type="dcterms:W3CDTF">2020-08-17T09:36:00Z</dcterms:modified>
</cp:coreProperties>
</file>